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62A4" w:rsidRPr="00396956" w:rsidRDefault="006362A4" w:rsidP="006362A4">
      <w:pPr>
        <w:spacing w:before="120" w:after="120"/>
        <w:rPr>
          <w:rFonts w:ascii="Times New Roman" w:hAnsi="Times New Roman"/>
          <w:caps/>
          <w:sz w:val="24"/>
        </w:rPr>
      </w:pPr>
      <w:r w:rsidRPr="00396956">
        <w:rPr>
          <w:rFonts w:ascii="Times New Roman" w:hAnsi="Times New Roman"/>
          <w:caps/>
          <w:sz w:val="24"/>
        </w:rPr>
        <w:t>POKYNY PRO AUTORY archeologických rozhledů</w:t>
      </w:r>
    </w:p>
    <w:p w:rsidR="006362A4" w:rsidRPr="00396956" w:rsidRDefault="006362A4" w:rsidP="006362A4">
      <w:pPr>
        <w:spacing w:before="120" w:after="120"/>
        <w:jc w:val="both"/>
        <w:rPr>
          <w:rFonts w:ascii="Times New Roman" w:eastAsia="Times New Roman" w:hAnsi="Times New Roman"/>
          <w:b/>
          <w:bCs/>
        </w:rPr>
      </w:pPr>
    </w:p>
    <w:p w:rsidR="006362A4" w:rsidRPr="00396956" w:rsidRDefault="006362A4" w:rsidP="006362A4">
      <w:pPr>
        <w:spacing w:before="120" w:after="120"/>
        <w:jc w:val="both"/>
        <w:rPr>
          <w:rFonts w:ascii="Times New Roman" w:eastAsia="Times New Roman" w:hAnsi="Times New Roman"/>
          <w:b/>
          <w:bCs/>
        </w:rPr>
      </w:pPr>
      <w:r w:rsidRPr="00396956">
        <w:rPr>
          <w:rFonts w:ascii="Times New Roman" w:eastAsia="Times New Roman" w:hAnsi="Times New Roman"/>
          <w:b/>
          <w:bCs/>
        </w:rPr>
        <w:t>Obecné informace</w:t>
      </w:r>
    </w:p>
    <w:p w:rsidR="006362A4" w:rsidRPr="00A01B15" w:rsidRDefault="006362A4" w:rsidP="006362A4">
      <w:pPr>
        <w:spacing w:before="120" w:after="120"/>
        <w:jc w:val="both"/>
        <w:rPr>
          <w:rFonts w:ascii="Times New Roman" w:eastAsia="Times New Roman" w:hAnsi="Times New Roman"/>
        </w:rPr>
      </w:pPr>
      <w:r w:rsidRPr="00A01B15">
        <w:rPr>
          <w:rFonts w:ascii="Times New Roman" w:eastAsia="Times New Roman" w:hAnsi="Times New Roman"/>
        </w:rPr>
        <w:t>Archeologické rozhledy (dále AR) jsou recenzovaný archeologický časopis zaměřený na území střední Evropy, s přesahy týkajícími se tematicky tohoto vymezení. Příspěvky přijaté redakční radou k recenznímu řízení jsou posuzovány minimálně dvěma nezávislými odborníky. Výsledek recenzního řízení slouží k formulaci vyjádření redakce. Vyjádření redakce, kontrolované redakční radou, je třeba považovat za konečné a nelze se vůči němu odvolat.</w:t>
      </w:r>
    </w:p>
    <w:p w:rsidR="006362A4" w:rsidRPr="00A01B15" w:rsidRDefault="006362A4" w:rsidP="006362A4">
      <w:pPr>
        <w:spacing w:before="120" w:after="120"/>
        <w:jc w:val="both"/>
        <w:rPr>
          <w:rFonts w:ascii="Times New Roman" w:eastAsia="Times New Roman" w:hAnsi="Times New Roman"/>
        </w:rPr>
      </w:pPr>
      <w:r w:rsidRPr="00A01B15">
        <w:rPr>
          <w:rFonts w:ascii="Times New Roman" w:eastAsia="Times New Roman" w:hAnsi="Times New Roman"/>
        </w:rPr>
        <w:t xml:space="preserve">Za věcný obsah příspěvků odpovídá autor. Autor dále ručí za to, že příspěvek předaný redakci ani žádná jeho část (včetně obrazových příloh) není </w:t>
      </w:r>
      <w:bookmarkStart w:id="0" w:name="_GoBack"/>
      <w:bookmarkEnd w:id="0"/>
      <w:r w:rsidRPr="00A01B15">
        <w:rPr>
          <w:rFonts w:ascii="Times New Roman" w:eastAsia="Times New Roman" w:hAnsi="Times New Roman"/>
        </w:rPr>
        <w:t>v rozporu se zákonem č. 121/2000 Sb. ve znění platných předpisů.</w:t>
      </w:r>
    </w:p>
    <w:p w:rsidR="006362A4" w:rsidRPr="00A01B15" w:rsidRDefault="006362A4" w:rsidP="006362A4">
      <w:pPr>
        <w:spacing w:before="120" w:after="120"/>
        <w:jc w:val="both"/>
        <w:rPr>
          <w:rFonts w:ascii="Times New Roman" w:eastAsia="Times New Roman" w:hAnsi="Times New Roman"/>
        </w:rPr>
      </w:pPr>
      <w:r w:rsidRPr="00A01B15">
        <w:rPr>
          <w:rFonts w:ascii="Times New Roman" w:eastAsia="Times New Roman" w:hAnsi="Times New Roman"/>
        </w:rPr>
        <w:t>Autor prohlašuje, že jeho rukopis nebyl dosud jinde publikován (nepočítají se bakalářské, diplomové či disertační práce), a to bez ohledu na jazyk textu. Dále autor deklaruje, že v případě publikování rukopisu v AR nebude tento odevzdán do redakce jiného časopisu, a to včetně jazykových mutací.</w:t>
      </w:r>
    </w:p>
    <w:p w:rsidR="006362A4" w:rsidRPr="00A01B15" w:rsidRDefault="006362A4" w:rsidP="006362A4">
      <w:pPr>
        <w:spacing w:before="120" w:after="120"/>
        <w:jc w:val="both"/>
        <w:rPr>
          <w:rFonts w:ascii="Times New Roman" w:eastAsia="Times New Roman" w:hAnsi="Times New Roman"/>
        </w:rPr>
      </w:pPr>
      <w:r w:rsidRPr="00A01B15">
        <w:rPr>
          <w:rFonts w:ascii="Times New Roman" w:eastAsia="Times New Roman" w:hAnsi="Times New Roman"/>
        </w:rPr>
        <w:t xml:space="preserve">Autor prohlašuje, že všichni spoluautoři rukopisu vyslovili souhlas s publikováním a že mají povědomí o svém autorském pořadí. Autor souhlasí se zveřejněním svého článku on-line. </w:t>
      </w:r>
    </w:p>
    <w:p w:rsidR="006362A4" w:rsidRPr="0091343A" w:rsidRDefault="006362A4" w:rsidP="006362A4">
      <w:pPr>
        <w:spacing w:before="120" w:after="120"/>
        <w:jc w:val="both"/>
        <w:rPr>
          <w:rFonts w:ascii="Times New Roman" w:eastAsia="Times New Roman" w:hAnsi="Times New Roman"/>
          <w:b/>
          <w:bCs/>
        </w:rPr>
      </w:pPr>
    </w:p>
    <w:p w:rsidR="006362A4" w:rsidRPr="0091343A" w:rsidRDefault="006362A4" w:rsidP="006362A4">
      <w:pPr>
        <w:spacing w:before="120" w:after="120"/>
        <w:jc w:val="both"/>
        <w:rPr>
          <w:rFonts w:ascii="Times New Roman" w:eastAsia="Times New Roman" w:hAnsi="Times New Roman"/>
          <w:b/>
          <w:bCs/>
        </w:rPr>
      </w:pPr>
      <w:r w:rsidRPr="0091343A">
        <w:rPr>
          <w:rFonts w:ascii="Times New Roman" w:eastAsia="Times New Roman" w:hAnsi="Times New Roman"/>
          <w:b/>
          <w:bCs/>
        </w:rPr>
        <w:t>Druhy článků a struktura textu</w:t>
      </w:r>
    </w:p>
    <w:p w:rsidR="006362A4" w:rsidRPr="0091343A" w:rsidRDefault="006362A4" w:rsidP="006362A4">
      <w:pPr>
        <w:spacing w:before="120" w:after="120"/>
        <w:jc w:val="both"/>
        <w:rPr>
          <w:rFonts w:ascii="Times New Roman" w:eastAsia="Times New Roman" w:hAnsi="Times New Roman"/>
        </w:rPr>
      </w:pPr>
      <w:r w:rsidRPr="0091343A">
        <w:rPr>
          <w:rFonts w:ascii="Times New Roman" w:eastAsia="Times New Roman" w:hAnsi="Times New Roman"/>
        </w:rPr>
        <w:t xml:space="preserve">AR publikují ponejvíce původní výzkumné výsledky a systematické rešerše archeologických témat. Méně se pak zaměřují na teorii a metodu, stejně jako na úzce specializované výsledky přírodovědných analýz archeologického materiálu (u článků tohoto typu je třeba v doprovodném dopisu zdůvodnit, proč by měly být publikovány právě v AR, a nikoli v příslušně zaměřeném časopisu). </w:t>
      </w:r>
    </w:p>
    <w:p w:rsidR="006362A4" w:rsidRPr="0091343A" w:rsidRDefault="006362A4" w:rsidP="006362A4">
      <w:pPr>
        <w:spacing w:before="120" w:after="120"/>
        <w:jc w:val="both"/>
        <w:rPr>
          <w:rFonts w:ascii="Times New Roman" w:eastAsia="Times New Roman" w:hAnsi="Times New Roman"/>
        </w:rPr>
      </w:pPr>
      <w:r w:rsidRPr="0091343A">
        <w:rPr>
          <w:rFonts w:ascii="Times New Roman" w:eastAsia="Times New Roman" w:hAnsi="Times New Roman"/>
        </w:rPr>
        <w:t>Struktura článků by měla odpovídat obecnému rozvržení odborného textu: úvod, materiál a metody, výsledky, diskuse a závěr. Vlastní stanovisko autora by mělo být obsaženo především v diskusi a závěru. V odůvodněných případech je pochopitelně možné i alternativní členění textů, autoři by však měli být připraveni na případné výhrady redakce.</w:t>
      </w:r>
    </w:p>
    <w:p w:rsidR="006362A4" w:rsidRPr="0091343A" w:rsidRDefault="006362A4" w:rsidP="006362A4">
      <w:pPr>
        <w:spacing w:before="120" w:after="120"/>
        <w:jc w:val="both"/>
        <w:rPr>
          <w:rFonts w:ascii="Times New Roman" w:eastAsia="Times New Roman" w:hAnsi="Times New Roman"/>
        </w:rPr>
      </w:pPr>
      <w:r w:rsidRPr="0091343A">
        <w:rPr>
          <w:rFonts w:ascii="Times New Roman" w:eastAsia="Times New Roman" w:hAnsi="Times New Roman"/>
        </w:rPr>
        <w:t>Redakce přijímá zprávy o nových publikacích, a to především kritické a do širších souvislostí uvádějící recenze. Připomínky životních jubileí zasloužilých kolegů redakce nepřijímá. Nekrology jsou přijímány pouze po předchozí výzvě redakce.</w:t>
      </w:r>
    </w:p>
    <w:p w:rsidR="006362A4" w:rsidRPr="0091343A" w:rsidRDefault="006362A4" w:rsidP="006362A4">
      <w:pPr>
        <w:spacing w:before="120" w:after="120"/>
        <w:jc w:val="both"/>
        <w:rPr>
          <w:rFonts w:ascii="Times New Roman" w:eastAsia="Times New Roman" w:hAnsi="Times New Roman"/>
        </w:rPr>
      </w:pPr>
    </w:p>
    <w:p w:rsidR="006362A4" w:rsidRPr="0091343A" w:rsidRDefault="006362A4" w:rsidP="006362A4">
      <w:pPr>
        <w:spacing w:before="120" w:after="120"/>
        <w:jc w:val="both"/>
        <w:rPr>
          <w:rFonts w:ascii="Times New Roman" w:eastAsia="Times New Roman" w:hAnsi="Times New Roman"/>
          <w:b/>
          <w:bCs/>
        </w:rPr>
      </w:pPr>
      <w:r w:rsidRPr="0091343A">
        <w:rPr>
          <w:rFonts w:ascii="Times New Roman" w:eastAsia="Times New Roman" w:hAnsi="Times New Roman"/>
          <w:b/>
          <w:bCs/>
        </w:rPr>
        <w:t>Technické specifikace a citace</w:t>
      </w:r>
    </w:p>
    <w:p w:rsidR="006362A4" w:rsidRPr="0091343A" w:rsidRDefault="006362A4" w:rsidP="006362A4">
      <w:pPr>
        <w:spacing w:before="120" w:after="120"/>
        <w:jc w:val="both"/>
        <w:rPr>
          <w:rFonts w:ascii="Times New Roman" w:eastAsia="Times New Roman" w:hAnsi="Times New Roman"/>
        </w:rPr>
      </w:pPr>
      <w:r w:rsidRPr="0091343A">
        <w:rPr>
          <w:rFonts w:ascii="Times New Roman" w:eastAsia="Times New Roman" w:hAnsi="Times New Roman"/>
        </w:rPr>
        <w:t xml:space="preserve">Texty redakce přijímá v češtině a v angličtině, ve </w:t>
      </w:r>
      <w:proofErr w:type="gramStart"/>
      <w:r w:rsidRPr="0091343A">
        <w:rPr>
          <w:rFonts w:ascii="Times New Roman" w:eastAsia="Times New Roman" w:hAnsi="Times New Roman"/>
        </w:rPr>
        <w:t>formátu .DOC.</w:t>
      </w:r>
      <w:proofErr w:type="gramEnd"/>
      <w:r w:rsidRPr="0091343A">
        <w:rPr>
          <w:rFonts w:ascii="Times New Roman" w:eastAsia="Times New Roman" w:hAnsi="Times New Roman"/>
        </w:rPr>
        <w:t xml:space="preserve"> Dále redakce žádá autory, aby obrázky, grafy apod. nevkládali do textu rukopisů. Očíslované popisky k obrázkům, grafům a tabulkám připojte za text příspěvku (nikoli přímo na obrázky nebo do toku textu). </w:t>
      </w:r>
    </w:p>
    <w:p w:rsidR="006362A4" w:rsidRPr="0091343A" w:rsidRDefault="006362A4" w:rsidP="006362A4">
      <w:pPr>
        <w:spacing w:before="120" w:after="120"/>
        <w:jc w:val="both"/>
        <w:rPr>
          <w:rFonts w:ascii="Times New Roman" w:eastAsia="Times New Roman" w:hAnsi="Times New Roman"/>
        </w:rPr>
      </w:pPr>
      <w:r w:rsidRPr="0091343A">
        <w:rPr>
          <w:rFonts w:ascii="Times New Roman" w:eastAsia="Times New Roman" w:hAnsi="Times New Roman"/>
        </w:rPr>
        <w:t xml:space="preserve">Nezbytnou součástí každého rukopisu v češtině je max. dvoustránkový podklad pro překlad souhrnu nebo dvou- až čtyřstránkový anglický souhrn, dále český abstrakt postihující cíl práce v rozsahu 7-12 řádků, 5-7 klíčových slov, kontaktní adresa autora/autorů, včetně e-mailové. Je třeba dodržovat zavedený způsob citací podle ročníků AR z posledních deseti let (viz níže). Týká-li se článek určité </w:t>
      </w:r>
      <w:r w:rsidRPr="0091343A">
        <w:rPr>
          <w:rFonts w:ascii="Times New Roman" w:eastAsia="Times New Roman" w:hAnsi="Times New Roman"/>
        </w:rPr>
        <w:lastRenderedPageBreak/>
        <w:t>lokality, musí být vybaven mapkou dotyčného státu či širšího území s příslušnou lokalizací, optimálně vloženou do rohu plánu lokality.</w:t>
      </w:r>
    </w:p>
    <w:p w:rsidR="006362A4" w:rsidRPr="0091343A" w:rsidRDefault="006362A4" w:rsidP="006362A4">
      <w:pPr>
        <w:spacing w:before="120" w:after="120"/>
        <w:jc w:val="both"/>
        <w:rPr>
          <w:rFonts w:ascii="Times New Roman" w:eastAsia="Times New Roman" w:hAnsi="Times New Roman"/>
        </w:rPr>
      </w:pPr>
      <w:r w:rsidRPr="0091343A">
        <w:rPr>
          <w:rFonts w:ascii="Times New Roman" w:eastAsia="Times New Roman" w:hAnsi="Times New Roman"/>
        </w:rPr>
        <w:t xml:space="preserve">Při tvorbě obrazových příloh je platný formát 126 x 195 mm. Obrázky a tabulky jsou přijímány pouze přehledně pojmenované a očíslované (např. Prijmeni_Obr_01), ve </w:t>
      </w:r>
      <w:proofErr w:type="gramStart"/>
      <w:r w:rsidRPr="0091343A">
        <w:rPr>
          <w:rFonts w:ascii="Times New Roman" w:eastAsia="Times New Roman" w:hAnsi="Times New Roman"/>
        </w:rPr>
        <w:t>formátech .TIFF</w:t>
      </w:r>
      <w:proofErr w:type="gramEnd"/>
      <w:r w:rsidRPr="0091343A">
        <w:rPr>
          <w:rFonts w:ascii="Times New Roman" w:eastAsia="Times New Roman" w:hAnsi="Times New Roman"/>
        </w:rPr>
        <w:t xml:space="preserve">, .EPS, .AI, .PSD, .JPG, v rozlišení min 500 DPI. Bude-li velikost obrázku přesahovat 15 MB, připravte se na možnou žádost redakce o kompresi. Redakce nepřijímá obrázky ve </w:t>
      </w:r>
      <w:proofErr w:type="gramStart"/>
      <w:r w:rsidRPr="0091343A">
        <w:rPr>
          <w:rFonts w:ascii="Times New Roman" w:eastAsia="Times New Roman" w:hAnsi="Times New Roman"/>
        </w:rPr>
        <w:t>formátu .DOC.</w:t>
      </w:r>
      <w:proofErr w:type="gramEnd"/>
      <w:r w:rsidRPr="0091343A">
        <w:rPr>
          <w:rFonts w:ascii="Times New Roman" w:eastAsia="Times New Roman" w:hAnsi="Times New Roman"/>
        </w:rPr>
        <w:t xml:space="preserve"> Po převedení obrázku do tištěného formátu AR nesmí výška písmen klesnout pod 1,5 mm, při počítačovém zpracování obrázků dbejte rovněž na dostatečnou sílu čar a výrazné odlišení barev. Mapy, plány a kresby musejí být opatřeny grafickým měřítkem.</w:t>
      </w:r>
      <w:r w:rsidRPr="0091343A">
        <w:rPr>
          <w:rFonts w:ascii="Times New Roman" w:hAnsi="Times New Roman"/>
          <w:shd w:val="clear" w:color="auto" w:fill="FFFFFF"/>
        </w:rPr>
        <w:t xml:space="preserve"> Redakce nepřijímá jednotlivé kresby či fotografie určené pro sestavení celkového obrázku, nýbrž pouze kompletně sestavené obrázky.</w:t>
      </w:r>
    </w:p>
    <w:p w:rsidR="006362A4" w:rsidRPr="0091343A" w:rsidRDefault="006362A4" w:rsidP="006362A4">
      <w:pPr>
        <w:spacing w:before="120" w:after="120"/>
        <w:jc w:val="both"/>
        <w:rPr>
          <w:rFonts w:ascii="Times New Roman" w:eastAsia="Times New Roman" w:hAnsi="Times New Roman"/>
        </w:rPr>
      </w:pPr>
      <w:r w:rsidRPr="0091343A">
        <w:rPr>
          <w:rFonts w:ascii="Times New Roman" w:eastAsia="Times New Roman" w:hAnsi="Times New Roman"/>
        </w:rPr>
        <w:t xml:space="preserve">Grafy prosíme ve </w:t>
      </w:r>
      <w:proofErr w:type="gramStart"/>
      <w:r w:rsidRPr="0091343A">
        <w:rPr>
          <w:rFonts w:ascii="Times New Roman" w:eastAsia="Times New Roman" w:hAnsi="Times New Roman"/>
        </w:rPr>
        <w:t>formátech .PDF</w:t>
      </w:r>
      <w:proofErr w:type="gramEnd"/>
      <w:r w:rsidRPr="0091343A">
        <w:rPr>
          <w:rFonts w:ascii="Times New Roman" w:eastAsia="Times New Roman" w:hAnsi="Times New Roman"/>
        </w:rPr>
        <w:t>, .TIFF, .EPS, .XLS, tabulky v .XLS nebo .DOCX. Obojí rovněž náležitě pojmenované a očíslované.</w:t>
      </w:r>
    </w:p>
    <w:p w:rsidR="006362A4" w:rsidRPr="0091343A" w:rsidRDefault="006362A4" w:rsidP="006362A4">
      <w:pPr>
        <w:spacing w:before="120" w:after="120"/>
        <w:jc w:val="both"/>
        <w:rPr>
          <w:rFonts w:ascii="Times New Roman" w:eastAsia="Times New Roman" w:hAnsi="Times New Roman"/>
        </w:rPr>
      </w:pPr>
    </w:p>
    <w:p w:rsidR="006362A4" w:rsidRPr="0091343A" w:rsidRDefault="006362A4" w:rsidP="006362A4">
      <w:pPr>
        <w:spacing w:before="120" w:after="120"/>
        <w:jc w:val="both"/>
        <w:rPr>
          <w:rFonts w:ascii="Times New Roman" w:hAnsi="Times New Roman"/>
          <w:b/>
          <w:bCs/>
        </w:rPr>
      </w:pPr>
      <w:r w:rsidRPr="0091343A">
        <w:rPr>
          <w:rFonts w:ascii="Times New Roman" w:hAnsi="Times New Roman"/>
          <w:b/>
          <w:bCs/>
        </w:rPr>
        <w:t>Citace v textu</w:t>
      </w:r>
    </w:p>
    <w:p w:rsidR="006362A4" w:rsidRPr="0091343A" w:rsidRDefault="006362A4" w:rsidP="006362A4">
      <w:pPr>
        <w:spacing w:before="120" w:after="120"/>
        <w:jc w:val="both"/>
        <w:rPr>
          <w:rFonts w:ascii="Times New Roman" w:hAnsi="Times New Roman"/>
        </w:rPr>
      </w:pPr>
      <w:r w:rsidRPr="0091343A">
        <w:rPr>
          <w:rFonts w:ascii="Times New Roman" w:hAnsi="Times New Roman"/>
          <w:bCs/>
        </w:rPr>
        <w:t xml:space="preserve">Citace se umísťují přímo do textu, a to formou odkazu v závorkách, který obsahuje příjmení autora, rok vydání (obojí kurzívou, neodděleno čárkou) a, po čárce (nikoli kurzívou), citovanou stranu či strany. Vícenásobné citace jsou řazeny chronologicky, odděleny středníky (ty opět nikoli kurzívou). Pokud jsou od totožného autora citovány různé práce publikované v jednom roce, je třeba je blíže identifikovat </w:t>
      </w:r>
      <w:r w:rsidRPr="0091343A">
        <w:rPr>
          <w:rFonts w:ascii="Times New Roman" w:hAnsi="Times New Roman"/>
        </w:rPr>
        <w:t>(</w:t>
      </w:r>
      <w:r w:rsidRPr="0091343A">
        <w:rPr>
          <w:rFonts w:ascii="Times New Roman" w:hAnsi="Times New Roman"/>
          <w:i/>
        </w:rPr>
        <w:t>Bílá 1986a</w:t>
      </w:r>
      <w:r w:rsidRPr="0091343A">
        <w:rPr>
          <w:rFonts w:ascii="Times New Roman" w:hAnsi="Times New Roman"/>
        </w:rPr>
        <w:t>;</w:t>
      </w:r>
      <w:r w:rsidRPr="0091343A">
        <w:rPr>
          <w:rFonts w:ascii="Times New Roman" w:hAnsi="Times New Roman"/>
          <w:i/>
        </w:rPr>
        <w:t xml:space="preserve"> 1986b</w:t>
      </w:r>
      <w:r w:rsidRPr="0091343A">
        <w:rPr>
          <w:rFonts w:ascii="Times New Roman" w:hAnsi="Times New Roman"/>
        </w:rPr>
        <w:t xml:space="preserve">). Pokud je autorský kolektiv tvořen třemi či více osobami, uvádí se jen první autor </w:t>
      </w:r>
      <w:r w:rsidRPr="0091343A">
        <w:rPr>
          <w:rFonts w:ascii="Times New Roman" w:hAnsi="Times New Roman"/>
          <w:i/>
        </w:rPr>
        <w:t>et al.</w:t>
      </w:r>
      <w:r w:rsidRPr="0091343A">
        <w:rPr>
          <w:rFonts w:ascii="Times New Roman" w:hAnsi="Times New Roman"/>
        </w:rPr>
        <w:t xml:space="preserve"> (</w:t>
      </w:r>
      <w:r w:rsidRPr="0091343A">
        <w:rPr>
          <w:rFonts w:ascii="Times New Roman" w:hAnsi="Times New Roman"/>
          <w:i/>
        </w:rPr>
        <w:t xml:space="preserve">Bílá </w:t>
      </w:r>
      <w:r w:rsidRPr="0091343A">
        <w:rPr>
          <w:rFonts w:ascii="Times New Roman" w:hAnsi="Times New Roman"/>
          <w:i/>
          <w:iCs/>
        </w:rPr>
        <w:t>et al</w:t>
      </w:r>
      <w:r w:rsidRPr="0091343A">
        <w:rPr>
          <w:rFonts w:ascii="Times New Roman" w:hAnsi="Times New Roman"/>
          <w:i/>
        </w:rPr>
        <w:t>. 1986</w:t>
      </w:r>
      <w:r w:rsidRPr="0091343A">
        <w:rPr>
          <w:rFonts w:ascii="Times New Roman" w:hAnsi="Times New Roman"/>
        </w:rPr>
        <w:t>, 85). V případě monografií je nutné uvést citovanou stranu.</w:t>
      </w:r>
    </w:p>
    <w:p w:rsidR="006362A4" w:rsidRPr="0091343A" w:rsidRDefault="006362A4" w:rsidP="006362A4">
      <w:pPr>
        <w:spacing w:before="120" w:after="120"/>
        <w:jc w:val="both"/>
        <w:rPr>
          <w:rFonts w:ascii="Times New Roman" w:hAnsi="Times New Roman"/>
        </w:rPr>
      </w:pPr>
      <w:r w:rsidRPr="0091343A">
        <w:rPr>
          <w:rFonts w:ascii="Times New Roman" w:hAnsi="Times New Roman"/>
        </w:rPr>
        <w:t>Podoba citací v textu:</w:t>
      </w:r>
    </w:p>
    <w:p w:rsidR="006362A4" w:rsidRPr="0091343A" w:rsidRDefault="006362A4" w:rsidP="006362A4">
      <w:pPr>
        <w:spacing w:before="120" w:after="120"/>
        <w:jc w:val="both"/>
        <w:rPr>
          <w:rFonts w:ascii="Times New Roman" w:hAnsi="Times New Roman"/>
        </w:rPr>
      </w:pPr>
      <w:r w:rsidRPr="0091343A">
        <w:rPr>
          <w:rFonts w:ascii="Times New Roman" w:hAnsi="Times New Roman"/>
        </w:rPr>
        <w:t xml:space="preserve">…, jak uvádí </w:t>
      </w:r>
      <w:r w:rsidRPr="0091343A">
        <w:rPr>
          <w:rFonts w:ascii="Times New Roman" w:hAnsi="Times New Roman"/>
          <w:i/>
        </w:rPr>
        <w:t>Bílá</w:t>
      </w:r>
      <w:r w:rsidRPr="0091343A">
        <w:rPr>
          <w:rFonts w:ascii="Times New Roman" w:hAnsi="Times New Roman"/>
        </w:rPr>
        <w:t xml:space="preserve"> (</w:t>
      </w:r>
      <w:r w:rsidRPr="0091343A">
        <w:rPr>
          <w:rFonts w:ascii="Times New Roman" w:hAnsi="Times New Roman"/>
          <w:i/>
        </w:rPr>
        <w:t>2001</w:t>
      </w:r>
      <w:r w:rsidRPr="0091343A">
        <w:rPr>
          <w:rFonts w:ascii="Times New Roman" w:hAnsi="Times New Roman"/>
        </w:rPr>
        <w:t>, 28), lidé jsou …</w:t>
      </w:r>
    </w:p>
    <w:p w:rsidR="006362A4" w:rsidRPr="0091343A" w:rsidRDefault="006362A4" w:rsidP="006362A4">
      <w:pPr>
        <w:spacing w:before="120" w:after="120"/>
        <w:jc w:val="both"/>
        <w:rPr>
          <w:rFonts w:ascii="Times New Roman" w:hAnsi="Times New Roman"/>
          <w:bCs/>
        </w:rPr>
      </w:pPr>
      <w:r w:rsidRPr="0091343A">
        <w:rPr>
          <w:rFonts w:ascii="Times New Roman" w:hAnsi="Times New Roman"/>
        </w:rPr>
        <w:t xml:space="preserve">… </w:t>
      </w:r>
      <w:r w:rsidRPr="0091343A">
        <w:rPr>
          <w:rFonts w:ascii="Times New Roman" w:hAnsi="Times New Roman"/>
          <w:i/>
        </w:rPr>
        <w:t>Bílá</w:t>
      </w:r>
      <w:r w:rsidRPr="0091343A">
        <w:rPr>
          <w:rFonts w:ascii="Times New Roman" w:hAnsi="Times New Roman"/>
        </w:rPr>
        <w:t xml:space="preserve"> </w:t>
      </w:r>
      <w:r w:rsidRPr="0091343A">
        <w:rPr>
          <w:rFonts w:ascii="Times New Roman" w:hAnsi="Times New Roman"/>
          <w:i/>
        </w:rPr>
        <w:t xml:space="preserve">et al. </w:t>
      </w:r>
      <w:r w:rsidRPr="0091343A">
        <w:rPr>
          <w:rFonts w:ascii="Times New Roman" w:hAnsi="Times New Roman"/>
        </w:rPr>
        <w:t>(</w:t>
      </w:r>
      <w:r w:rsidRPr="0091343A">
        <w:rPr>
          <w:rFonts w:ascii="Times New Roman" w:hAnsi="Times New Roman"/>
          <w:i/>
        </w:rPr>
        <w:t>1996</w:t>
      </w:r>
      <w:r w:rsidRPr="0091343A">
        <w:rPr>
          <w:rFonts w:ascii="Times New Roman" w:hAnsi="Times New Roman"/>
        </w:rPr>
        <w:t xml:space="preserve">; </w:t>
      </w:r>
      <w:r w:rsidRPr="0091343A">
        <w:rPr>
          <w:rFonts w:ascii="Times New Roman" w:hAnsi="Times New Roman"/>
          <w:i/>
        </w:rPr>
        <w:t>1997</w:t>
      </w:r>
      <w:r w:rsidRPr="0091343A">
        <w:rPr>
          <w:rFonts w:ascii="Times New Roman" w:hAnsi="Times New Roman"/>
        </w:rPr>
        <w:t>) argumentují …</w:t>
      </w:r>
    </w:p>
    <w:p w:rsidR="006362A4" w:rsidRPr="0091343A" w:rsidRDefault="006362A4" w:rsidP="006362A4">
      <w:pPr>
        <w:spacing w:before="120" w:after="120"/>
        <w:jc w:val="both"/>
        <w:rPr>
          <w:rFonts w:ascii="Times New Roman" w:hAnsi="Times New Roman"/>
          <w:bCs/>
        </w:rPr>
      </w:pPr>
      <w:r w:rsidRPr="0091343A">
        <w:rPr>
          <w:rFonts w:ascii="Times New Roman" w:hAnsi="Times New Roman"/>
          <w:bCs/>
        </w:rPr>
        <w:t xml:space="preserve">Např. </w:t>
      </w:r>
      <w:r w:rsidRPr="0091343A">
        <w:rPr>
          <w:rFonts w:ascii="Times New Roman" w:hAnsi="Times New Roman"/>
          <w:bCs/>
          <w:i/>
        </w:rPr>
        <w:t>Bílá</w:t>
      </w:r>
      <w:r w:rsidRPr="0091343A">
        <w:rPr>
          <w:rFonts w:ascii="Times New Roman" w:hAnsi="Times New Roman"/>
          <w:bCs/>
        </w:rPr>
        <w:t xml:space="preserve"> a </w:t>
      </w:r>
      <w:r w:rsidRPr="0091343A">
        <w:rPr>
          <w:rFonts w:ascii="Times New Roman" w:hAnsi="Times New Roman"/>
          <w:bCs/>
          <w:i/>
        </w:rPr>
        <w:t>Novák</w:t>
      </w:r>
      <w:r w:rsidRPr="0091343A">
        <w:rPr>
          <w:rFonts w:ascii="Times New Roman" w:hAnsi="Times New Roman"/>
          <w:bCs/>
        </w:rPr>
        <w:t xml:space="preserve"> (</w:t>
      </w:r>
      <w:r w:rsidRPr="0091343A">
        <w:rPr>
          <w:rFonts w:ascii="Times New Roman" w:hAnsi="Times New Roman"/>
          <w:bCs/>
          <w:i/>
        </w:rPr>
        <w:t>1992</w:t>
      </w:r>
      <w:r w:rsidRPr="0091343A">
        <w:rPr>
          <w:rFonts w:ascii="Times New Roman" w:hAnsi="Times New Roman"/>
          <w:bCs/>
        </w:rPr>
        <w:t>) provedli analýzu…</w:t>
      </w:r>
    </w:p>
    <w:p w:rsidR="006362A4" w:rsidRPr="0091343A" w:rsidRDefault="006362A4" w:rsidP="006362A4">
      <w:pPr>
        <w:spacing w:before="120" w:after="120"/>
        <w:jc w:val="both"/>
        <w:rPr>
          <w:rFonts w:ascii="Times New Roman" w:hAnsi="Times New Roman"/>
          <w:bCs/>
        </w:rPr>
      </w:pPr>
      <w:r w:rsidRPr="0091343A">
        <w:rPr>
          <w:rFonts w:ascii="Times New Roman" w:hAnsi="Times New Roman"/>
          <w:bCs/>
        </w:rPr>
        <w:t>… tyto výsledky (</w:t>
      </w:r>
      <w:r w:rsidRPr="0091343A">
        <w:rPr>
          <w:rFonts w:ascii="Times New Roman" w:hAnsi="Times New Roman"/>
          <w:bCs/>
          <w:i/>
        </w:rPr>
        <w:t>Novák et al. 1994</w:t>
      </w:r>
      <w:r w:rsidRPr="0091343A">
        <w:rPr>
          <w:rFonts w:ascii="Times New Roman" w:hAnsi="Times New Roman"/>
          <w:bCs/>
        </w:rPr>
        <w:t>, 199-200) … archeologický výzkum (</w:t>
      </w:r>
      <w:r w:rsidRPr="0091343A">
        <w:rPr>
          <w:rFonts w:ascii="Times New Roman" w:hAnsi="Times New Roman"/>
          <w:bCs/>
          <w:i/>
        </w:rPr>
        <w:t>Bílá 2002</w:t>
      </w:r>
      <w:r w:rsidRPr="0091343A">
        <w:rPr>
          <w:rFonts w:ascii="Times New Roman" w:hAnsi="Times New Roman"/>
          <w:bCs/>
        </w:rPr>
        <w:t xml:space="preserve">, 38; </w:t>
      </w:r>
      <w:r w:rsidRPr="0091343A">
        <w:rPr>
          <w:rFonts w:ascii="Times New Roman" w:hAnsi="Times New Roman"/>
          <w:bCs/>
          <w:i/>
        </w:rPr>
        <w:t>Bílá et al. 2006</w:t>
      </w:r>
      <w:r w:rsidRPr="0091343A">
        <w:rPr>
          <w:rFonts w:ascii="Times New Roman" w:hAnsi="Times New Roman"/>
          <w:bCs/>
        </w:rPr>
        <w:t xml:space="preserve">, 45; </w:t>
      </w:r>
      <w:r w:rsidRPr="0091343A">
        <w:rPr>
          <w:rFonts w:ascii="Times New Roman" w:hAnsi="Times New Roman"/>
          <w:bCs/>
          <w:i/>
        </w:rPr>
        <w:t>Bílá – Novák 1985</w:t>
      </w:r>
      <w:r w:rsidRPr="0091343A">
        <w:rPr>
          <w:rFonts w:ascii="Times New Roman" w:hAnsi="Times New Roman"/>
          <w:bCs/>
        </w:rPr>
        <w:t xml:space="preserve">, 56-59; </w:t>
      </w:r>
      <w:r w:rsidRPr="0091343A">
        <w:rPr>
          <w:rFonts w:ascii="Times New Roman" w:hAnsi="Times New Roman"/>
          <w:bCs/>
          <w:i/>
        </w:rPr>
        <w:t xml:space="preserve">Olivier – </w:t>
      </w:r>
      <w:proofErr w:type="spellStart"/>
      <w:r w:rsidRPr="0091343A">
        <w:rPr>
          <w:rFonts w:ascii="Times New Roman" w:hAnsi="Times New Roman"/>
          <w:bCs/>
          <w:i/>
        </w:rPr>
        <w:t>See</w:t>
      </w:r>
      <w:proofErr w:type="spellEnd"/>
      <w:r w:rsidRPr="0091343A">
        <w:rPr>
          <w:rFonts w:ascii="Times New Roman" w:hAnsi="Times New Roman"/>
          <w:bCs/>
          <w:i/>
        </w:rPr>
        <w:t xml:space="preserve"> </w:t>
      </w:r>
      <w:proofErr w:type="spellStart"/>
      <w:r w:rsidRPr="0091343A">
        <w:rPr>
          <w:rFonts w:ascii="Times New Roman" w:hAnsi="Times New Roman"/>
          <w:bCs/>
          <w:i/>
        </w:rPr>
        <w:t>eds</w:t>
      </w:r>
      <w:proofErr w:type="spellEnd"/>
      <w:r w:rsidRPr="0091343A">
        <w:rPr>
          <w:rFonts w:ascii="Times New Roman" w:hAnsi="Times New Roman"/>
          <w:bCs/>
          <w:i/>
        </w:rPr>
        <w:t>. 2001</w:t>
      </w:r>
      <w:r w:rsidRPr="0091343A">
        <w:rPr>
          <w:rFonts w:ascii="Times New Roman" w:hAnsi="Times New Roman"/>
          <w:bCs/>
        </w:rPr>
        <w:t>).</w:t>
      </w:r>
    </w:p>
    <w:p w:rsidR="006362A4" w:rsidRPr="0091343A" w:rsidRDefault="006362A4" w:rsidP="006362A4">
      <w:pPr>
        <w:jc w:val="both"/>
        <w:rPr>
          <w:rFonts w:ascii="Times New Roman" w:hAnsi="Times New Roman"/>
          <w:bCs/>
        </w:rPr>
      </w:pPr>
    </w:p>
    <w:p w:rsidR="006362A4" w:rsidRPr="0091343A" w:rsidRDefault="006362A4" w:rsidP="006362A4">
      <w:pPr>
        <w:spacing w:after="0"/>
        <w:jc w:val="both"/>
        <w:rPr>
          <w:rFonts w:ascii="Times New Roman" w:hAnsi="Times New Roman"/>
          <w:b/>
          <w:bCs/>
        </w:rPr>
      </w:pPr>
      <w:r w:rsidRPr="0091343A">
        <w:rPr>
          <w:rFonts w:ascii="Times New Roman" w:hAnsi="Times New Roman"/>
          <w:b/>
          <w:bCs/>
        </w:rPr>
        <w:t>Soupis literatury</w:t>
      </w:r>
    </w:p>
    <w:p w:rsidR="006362A4" w:rsidRPr="0091343A" w:rsidRDefault="006362A4" w:rsidP="006362A4">
      <w:pPr>
        <w:spacing w:after="0"/>
        <w:jc w:val="both"/>
        <w:rPr>
          <w:rFonts w:ascii="Times New Roman" w:hAnsi="Times New Roman"/>
          <w:bCs/>
        </w:rPr>
      </w:pPr>
    </w:p>
    <w:p w:rsidR="006362A4" w:rsidRDefault="006362A4" w:rsidP="006362A4">
      <w:pPr>
        <w:spacing w:after="0"/>
        <w:jc w:val="both"/>
        <w:rPr>
          <w:rFonts w:ascii="Times New Roman" w:hAnsi="Times New Roman"/>
        </w:rPr>
      </w:pPr>
      <w:r w:rsidRPr="0091343A">
        <w:rPr>
          <w:rFonts w:ascii="Times New Roman" w:hAnsi="Times New Roman"/>
        </w:rPr>
        <w:t>Seznam literatury je umístěn na konci textu. Řazení je abecední a následně chronologické. Všechny bibliografické odkazy musí úplné a správné. Pokud existuje DOI, musí být u odkazu uvedeno. Odkazy na on-line zdroje musejí obsahovat datum posledního přístupu.</w:t>
      </w:r>
    </w:p>
    <w:p w:rsidR="006362A4" w:rsidRPr="0091343A" w:rsidRDefault="006362A4" w:rsidP="006362A4">
      <w:pPr>
        <w:spacing w:after="0"/>
        <w:jc w:val="both"/>
        <w:rPr>
          <w:rFonts w:ascii="Times New Roman" w:hAnsi="Times New Roman"/>
        </w:rPr>
      </w:pPr>
    </w:p>
    <w:p w:rsidR="006362A4" w:rsidRPr="0091343A" w:rsidRDefault="006362A4" w:rsidP="006362A4">
      <w:pPr>
        <w:spacing w:after="0"/>
        <w:jc w:val="both"/>
        <w:rPr>
          <w:rFonts w:ascii="Times New Roman" w:hAnsi="Times New Roman"/>
          <w:lang w:val="fr-FR"/>
        </w:rPr>
      </w:pPr>
      <w:r w:rsidRPr="0091343A">
        <w:rPr>
          <w:rFonts w:ascii="Times New Roman" w:hAnsi="Times New Roman"/>
          <w:lang w:val="fr-FR"/>
        </w:rPr>
        <w:t>KNIHY:</w:t>
      </w:r>
    </w:p>
    <w:p w:rsidR="006362A4" w:rsidRPr="0091343A" w:rsidRDefault="006362A4" w:rsidP="006362A4">
      <w:pPr>
        <w:spacing w:after="0"/>
        <w:jc w:val="both"/>
        <w:rPr>
          <w:rFonts w:ascii="Times New Roman" w:hAnsi="Times New Roman"/>
          <w:lang w:val="fr-FR"/>
        </w:rPr>
      </w:pPr>
      <w:r w:rsidRPr="0091343A">
        <w:rPr>
          <w:rFonts w:ascii="Times New Roman" w:hAnsi="Times New Roman"/>
          <w:i/>
          <w:lang w:val="fr-FR"/>
        </w:rPr>
        <w:t>Absolon, K. – Knies, J. 1921</w:t>
      </w:r>
      <w:r w:rsidRPr="0091343A">
        <w:rPr>
          <w:rFonts w:ascii="Times New Roman" w:hAnsi="Times New Roman"/>
          <w:lang w:val="fr-FR"/>
        </w:rPr>
        <w:t>: Lovci mamutů. Brno: Moravské zemské muzeum.</w:t>
      </w:r>
    </w:p>
    <w:p w:rsidR="006362A4" w:rsidRDefault="006362A4" w:rsidP="006362A4">
      <w:pPr>
        <w:spacing w:after="0"/>
        <w:jc w:val="both"/>
        <w:rPr>
          <w:rFonts w:ascii="Times New Roman" w:hAnsi="Times New Roman"/>
          <w:caps/>
          <w:lang w:val="fr-FR"/>
        </w:rPr>
      </w:pPr>
    </w:p>
    <w:p w:rsidR="006362A4" w:rsidRPr="0091343A" w:rsidRDefault="006362A4" w:rsidP="006362A4">
      <w:pPr>
        <w:spacing w:after="0"/>
        <w:jc w:val="both"/>
        <w:rPr>
          <w:rFonts w:ascii="Times New Roman" w:hAnsi="Times New Roman"/>
          <w:caps/>
          <w:lang w:val="fr-FR"/>
        </w:rPr>
      </w:pPr>
      <w:r w:rsidRPr="0091343A">
        <w:rPr>
          <w:rFonts w:ascii="Times New Roman" w:hAnsi="Times New Roman"/>
          <w:caps/>
          <w:lang w:val="fr-FR"/>
        </w:rPr>
        <w:t>SBORNÍKY:</w:t>
      </w:r>
    </w:p>
    <w:p w:rsidR="006362A4" w:rsidRPr="0091343A" w:rsidRDefault="006362A4" w:rsidP="006362A4">
      <w:pPr>
        <w:spacing w:after="0"/>
        <w:jc w:val="both"/>
        <w:rPr>
          <w:rFonts w:ascii="Times New Roman" w:hAnsi="Times New Roman"/>
          <w:lang w:val="en-GB"/>
        </w:rPr>
      </w:pPr>
      <w:r w:rsidRPr="0091343A">
        <w:rPr>
          <w:rFonts w:ascii="Times New Roman" w:hAnsi="Times New Roman"/>
          <w:i/>
          <w:lang w:val="fr-FR"/>
        </w:rPr>
        <w:t>Olivier, L. – See, E. eds. 2001</w:t>
      </w:r>
      <w:r w:rsidRPr="0091343A">
        <w:rPr>
          <w:rFonts w:ascii="Times New Roman" w:hAnsi="Times New Roman"/>
          <w:lang w:val="fr-FR"/>
        </w:rPr>
        <w:t xml:space="preserve">: La nécropole de tumulus du Bois de Voivre à Haroué (Meurthe-et-Moselle). </w:t>
      </w:r>
      <w:r w:rsidRPr="0091343A">
        <w:rPr>
          <w:rFonts w:ascii="Times New Roman" w:hAnsi="Times New Roman"/>
          <w:lang w:val="en-GB"/>
        </w:rPr>
        <w:t>Paris: CNRS.</w:t>
      </w:r>
    </w:p>
    <w:p w:rsidR="006362A4" w:rsidRDefault="006362A4" w:rsidP="006362A4">
      <w:pPr>
        <w:spacing w:after="0"/>
        <w:jc w:val="both"/>
        <w:rPr>
          <w:rFonts w:ascii="Times New Roman" w:hAnsi="Times New Roman"/>
          <w:iCs/>
          <w:lang w:val="en-GB"/>
        </w:rPr>
      </w:pPr>
    </w:p>
    <w:p w:rsidR="006362A4" w:rsidRPr="0091343A" w:rsidRDefault="006362A4" w:rsidP="006362A4">
      <w:pPr>
        <w:spacing w:after="0"/>
        <w:jc w:val="both"/>
        <w:rPr>
          <w:rFonts w:ascii="Times New Roman" w:hAnsi="Times New Roman"/>
          <w:iCs/>
          <w:lang w:val="en-GB"/>
        </w:rPr>
      </w:pPr>
      <w:r w:rsidRPr="0091343A">
        <w:rPr>
          <w:rFonts w:ascii="Times New Roman" w:hAnsi="Times New Roman"/>
          <w:iCs/>
          <w:lang w:val="en-GB"/>
        </w:rPr>
        <w:lastRenderedPageBreak/>
        <w:t>STAŤ VE SBORNÍKU NEBO ČÁST KNIHY:</w:t>
      </w:r>
    </w:p>
    <w:p w:rsidR="006362A4" w:rsidRPr="0091343A" w:rsidRDefault="006362A4" w:rsidP="006362A4">
      <w:pPr>
        <w:spacing w:after="0"/>
        <w:jc w:val="both"/>
        <w:rPr>
          <w:rFonts w:ascii="Times New Roman" w:hAnsi="Times New Roman"/>
          <w:iCs/>
        </w:rPr>
      </w:pPr>
      <w:r w:rsidRPr="0091343A">
        <w:rPr>
          <w:rFonts w:ascii="Times New Roman" w:hAnsi="Times New Roman"/>
          <w:i/>
          <w:lang w:val="en-GB"/>
        </w:rPr>
        <w:t>Peck, M. 1976</w:t>
      </w:r>
      <w:r w:rsidRPr="0091343A">
        <w:rPr>
          <w:rFonts w:ascii="Times New Roman" w:hAnsi="Times New Roman"/>
          <w:lang w:val="en-GB"/>
        </w:rPr>
        <w:t xml:space="preserve">: Early Bronze Age settlement in Poland. In: E. White ed., </w:t>
      </w:r>
      <w:r w:rsidRPr="0091343A">
        <w:rPr>
          <w:rFonts w:ascii="Times New Roman" w:hAnsi="Times New Roman"/>
          <w:iCs/>
          <w:lang w:val="en-GB"/>
        </w:rPr>
        <w:t>Bronze Age in Europe</w:t>
      </w:r>
      <w:r w:rsidRPr="0091343A">
        <w:rPr>
          <w:rFonts w:ascii="Times New Roman" w:hAnsi="Times New Roman"/>
          <w:lang w:val="en-GB"/>
        </w:rPr>
        <w:t>, London: Routledge, 11–52.</w:t>
      </w:r>
    </w:p>
    <w:p w:rsidR="006362A4" w:rsidRDefault="006362A4" w:rsidP="006362A4">
      <w:pPr>
        <w:spacing w:after="0"/>
        <w:jc w:val="both"/>
        <w:rPr>
          <w:rFonts w:ascii="Times New Roman" w:hAnsi="Times New Roman"/>
          <w:iCs/>
        </w:rPr>
      </w:pPr>
    </w:p>
    <w:p w:rsidR="006362A4" w:rsidRPr="0091343A" w:rsidRDefault="006362A4" w:rsidP="006362A4">
      <w:pPr>
        <w:spacing w:after="0"/>
        <w:jc w:val="both"/>
        <w:rPr>
          <w:rFonts w:ascii="Times New Roman" w:hAnsi="Times New Roman"/>
        </w:rPr>
      </w:pPr>
      <w:r w:rsidRPr="0091343A">
        <w:rPr>
          <w:rFonts w:ascii="Times New Roman" w:hAnsi="Times New Roman"/>
          <w:iCs/>
        </w:rPr>
        <w:t>ČASOPISY:</w:t>
      </w:r>
    </w:p>
    <w:p w:rsidR="006362A4" w:rsidRPr="0091343A" w:rsidRDefault="006362A4" w:rsidP="006362A4">
      <w:pPr>
        <w:spacing w:after="0"/>
        <w:jc w:val="both"/>
        <w:rPr>
          <w:rFonts w:ascii="Times New Roman" w:hAnsi="Times New Roman"/>
          <w:i/>
          <w:lang w:val="en-GB"/>
        </w:rPr>
      </w:pPr>
      <w:r w:rsidRPr="0091343A">
        <w:rPr>
          <w:rFonts w:ascii="Times New Roman" w:hAnsi="Times New Roman"/>
          <w:i/>
          <w:lang w:val="en-GB"/>
        </w:rPr>
        <w:t>Slayton, D. 2017</w:t>
      </w:r>
      <w:r w:rsidRPr="0091343A">
        <w:rPr>
          <w:rFonts w:ascii="Times New Roman" w:hAnsi="Times New Roman"/>
          <w:lang w:val="en-GB"/>
        </w:rPr>
        <w:t>: Archaeology of Funnel Beaker in Nort</w:t>
      </w:r>
      <w:r>
        <w:rPr>
          <w:rFonts w:ascii="Times New Roman" w:hAnsi="Times New Roman"/>
          <w:lang w:val="en-GB"/>
        </w:rPr>
        <w:t xml:space="preserve">hern Europe. Antiquity 93 (358), </w:t>
      </w:r>
      <w:r w:rsidRPr="0091343A">
        <w:rPr>
          <w:rFonts w:ascii="Times New Roman" w:hAnsi="Times New Roman"/>
          <w:lang w:val="en-GB"/>
        </w:rPr>
        <w:t xml:space="preserve">348-359. </w:t>
      </w:r>
      <w:proofErr w:type="spellStart"/>
      <w:r w:rsidRPr="0091343A">
        <w:rPr>
          <w:rFonts w:ascii="Times New Roman" w:hAnsi="Times New Roman"/>
          <w:lang w:val="en-GB"/>
        </w:rPr>
        <w:t>doi:https</w:t>
      </w:r>
      <w:proofErr w:type="spellEnd"/>
      <w:r w:rsidRPr="0091343A">
        <w:rPr>
          <w:rFonts w:ascii="Times New Roman" w:hAnsi="Times New Roman"/>
          <w:lang w:val="en-GB"/>
        </w:rPr>
        <w:t>://doi.org/10.15184/aqy.2017.21.</w:t>
      </w:r>
    </w:p>
    <w:p w:rsidR="006362A4" w:rsidRPr="0091343A" w:rsidRDefault="006362A4" w:rsidP="006362A4">
      <w:pPr>
        <w:spacing w:after="0"/>
        <w:jc w:val="both"/>
        <w:rPr>
          <w:rFonts w:ascii="Times New Roman" w:hAnsi="Times New Roman"/>
          <w:lang w:val="en-GB"/>
        </w:rPr>
      </w:pPr>
      <w:r w:rsidRPr="0091343A">
        <w:rPr>
          <w:rFonts w:ascii="Times New Roman" w:hAnsi="Times New Roman"/>
          <w:i/>
          <w:lang w:val="en-GB"/>
        </w:rPr>
        <w:t>Lovell, J. 1992</w:t>
      </w:r>
      <w:r w:rsidRPr="0091343A">
        <w:rPr>
          <w:rFonts w:ascii="Times New Roman" w:hAnsi="Times New Roman"/>
          <w:lang w:val="en-GB"/>
        </w:rPr>
        <w:t xml:space="preserve">: Technology of Neolithic Pottery. </w:t>
      </w:r>
      <w:r w:rsidRPr="0091343A">
        <w:rPr>
          <w:rFonts w:ascii="Times New Roman" w:hAnsi="Times New Roman"/>
          <w:iCs/>
          <w:lang w:val="en-GB"/>
        </w:rPr>
        <w:t>Journal of Archaeology 38, 1</w:t>
      </w:r>
      <w:r w:rsidRPr="0091343A">
        <w:rPr>
          <w:rFonts w:ascii="Times New Roman" w:hAnsi="Times New Roman"/>
          <w:lang w:val="en-GB"/>
        </w:rPr>
        <w:t>34–142.</w:t>
      </w:r>
    </w:p>
    <w:p w:rsidR="006362A4" w:rsidRPr="0091343A" w:rsidRDefault="006362A4" w:rsidP="006362A4">
      <w:pPr>
        <w:spacing w:after="0"/>
        <w:jc w:val="both"/>
        <w:rPr>
          <w:rFonts w:ascii="Times New Roman" w:hAnsi="Times New Roman"/>
          <w:iCs/>
          <w:lang w:val="de-DE"/>
        </w:rPr>
      </w:pPr>
      <w:r w:rsidRPr="0091343A">
        <w:rPr>
          <w:rFonts w:ascii="Times New Roman" w:hAnsi="Times New Roman"/>
          <w:i/>
          <w:iCs/>
          <w:lang w:val="en-GB"/>
        </w:rPr>
        <w:t>Stafford, T. B. – Young, J. 2001</w:t>
      </w:r>
      <w:r w:rsidRPr="0091343A">
        <w:rPr>
          <w:rFonts w:ascii="Times New Roman" w:hAnsi="Times New Roman"/>
          <w:iCs/>
          <w:lang w:val="en-GB"/>
        </w:rPr>
        <w:t xml:space="preserve">: Dating of burial mounds. </w:t>
      </w:r>
      <w:r w:rsidRPr="0091343A">
        <w:rPr>
          <w:rFonts w:ascii="Times New Roman" w:hAnsi="Times New Roman"/>
          <w:iCs/>
          <w:lang w:val="de-DE"/>
        </w:rPr>
        <w:t xml:space="preserve">Cambridge </w:t>
      </w:r>
      <w:proofErr w:type="spellStart"/>
      <w:r w:rsidRPr="0091343A">
        <w:rPr>
          <w:rFonts w:ascii="Times New Roman" w:hAnsi="Times New Roman"/>
          <w:iCs/>
          <w:lang w:val="de-DE"/>
        </w:rPr>
        <w:t>Archaeological</w:t>
      </w:r>
      <w:proofErr w:type="spellEnd"/>
      <w:r w:rsidRPr="0091343A">
        <w:rPr>
          <w:rFonts w:ascii="Times New Roman" w:hAnsi="Times New Roman"/>
          <w:iCs/>
          <w:lang w:val="de-DE"/>
        </w:rPr>
        <w:t xml:space="preserve"> Journal 21, 25-64.</w:t>
      </w:r>
    </w:p>
    <w:p w:rsidR="006362A4" w:rsidRPr="0091343A" w:rsidRDefault="006362A4" w:rsidP="006362A4">
      <w:pPr>
        <w:spacing w:after="0"/>
        <w:jc w:val="both"/>
        <w:rPr>
          <w:rFonts w:ascii="Times New Roman" w:hAnsi="Times New Roman"/>
          <w:iCs/>
          <w:lang w:val="en-GB"/>
        </w:rPr>
      </w:pPr>
      <w:r w:rsidRPr="0091343A">
        <w:rPr>
          <w:rFonts w:ascii="Times New Roman" w:hAnsi="Times New Roman"/>
          <w:i/>
          <w:iCs/>
          <w:lang w:val="de-DE"/>
        </w:rPr>
        <w:t xml:space="preserve">Müller, H. – Kohl, I. – Ruder, J. – </w:t>
      </w:r>
      <w:proofErr w:type="spellStart"/>
      <w:r w:rsidRPr="0091343A">
        <w:rPr>
          <w:rFonts w:ascii="Times New Roman" w:hAnsi="Times New Roman"/>
          <w:i/>
          <w:iCs/>
          <w:lang w:val="de-DE"/>
        </w:rPr>
        <w:t>Czermak</w:t>
      </w:r>
      <w:proofErr w:type="spellEnd"/>
      <w:r w:rsidRPr="0091343A">
        <w:rPr>
          <w:rFonts w:ascii="Times New Roman" w:hAnsi="Times New Roman"/>
          <w:i/>
          <w:iCs/>
          <w:lang w:val="de-DE"/>
        </w:rPr>
        <w:t>, S. 1999</w:t>
      </w:r>
      <w:r w:rsidRPr="0091343A">
        <w:rPr>
          <w:rFonts w:ascii="Times New Roman" w:hAnsi="Times New Roman"/>
          <w:iCs/>
          <w:lang w:val="de-DE"/>
        </w:rPr>
        <w:t xml:space="preserve">: Das germanische Grab 1748 in Landshut. </w:t>
      </w:r>
      <w:r w:rsidRPr="0091343A">
        <w:rPr>
          <w:rFonts w:ascii="Times New Roman" w:hAnsi="Times New Roman"/>
          <w:iCs/>
          <w:lang w:val="en-GB"/>
        </w:rPr>
        <w:t>Germania 90, 178-221.</w:t>
      </w:r>
    </w:p>
    <w:p w:rsidR="006362A4" w:rsidRPr="0091343A" w:rsidRDefault="006362A4" w:rsidP="006362A4">
      <w:pPr>
        <w:spacing w:after="0"/>
        <w:jc w:val="both"/>
        <w:rPr>
          <w:rFonts w:ascii="Times New Roman" w:hAnsi="Times New Roman"/>
          <w:iCs/>
          <w:lang w:val="en-GB"/>
        </w:rPr>
      </w:pPr>
    </w:p>
    <w:p w:rsidR="006362A4" w:rsidRPr="0091343A" w:rsidRDefault="006362A4" w:rsidP="006362A4">
      <w:pPr>
        <w:spacing w:after="0"/>
        <w:jc w:val="both"/>
        <w:rPr>
          <w:rFonts w:ascii="Times New Roman" w:eastAsia="Times New Roman" w:hAnsi="Times New Roman"/>
        </w:rPr>
      </w:pPr>
    </w:p>
    <w:p w:rsidR="006362A4" w:rsidRPr="00396956" w:rsidRDefault="006362A4" w:rsidP="006362A4">
      <w:pPr>
        <w:spacing w:after="0"/>
        <w:jc w:val="both"/>
        <w:rPr>
          <w:rFonts w:ascii="Times New Roman" w:eastAsia="Times New Roman" w:hAnsi="Times New Roman"/>
          <w:b/>
        </w:rPr>
      </w:pPr>
      <w:r w:rsidRPr="0091343A">
        <w:rPr>
          <w:rFonts w:ascii="Times New Roman" w:eastAsia="Times New Roman" w:hAnsi="Times New Roman"/>
          <w:b/>
        </w:rPr>
        <w:t>Děkujeme za dodržování těchto zásad, které urychlí cestu Vašeho textu na stránky AR.</w:t>
      </w:r>
    </w:p>
    <w:p w:rsidR="001F1E6C" w:rsidRPr="006915E1" w:rsidRDefault="003259AF" w:rsidP="006915E1">
      <w:pPr>
        <w:spacing w:after="0"/>
      </w:pPr>
    </w:p>
    <w:sectPr w:rsidR="001F1E6C" w:rsidRPr="006915E1" w:rsidSect="008233F1">
      <w:headerReference w:type="default" r:id="rId6"/>
      <w:footerReference w:type="default" r:id="rId7"/>
      <w:pgSz w:w="11900" w:h="16840"/>
      <w:pgMar w:top="1417" w:right="1417" w:bottom="1417" w:left="1417" w:header="1984"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59AF" w:rsidRDefault="003259AF" w:rsidP="00B10660">
      <w:pPr>
        <w:spacing w:after="0" w:line="240" w:lineRule="auto"/>
      </w:pPr>
      <w:r>
        <w:separator/>
      </w:r>
    </w:p>
  </w:endnote>
  <w:endnote w:type="continuationSeparator" w:id="0">
    <w:p w:rsidR="003259AF" w:rsidRDefault="003259AF" w:rsidP="00B106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inion Pro">
    <w:altName w:val="Times New Roman"/>
    <w:panose1 w:val="02040503050201020203"/>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0660" w:rsidRDefault="00B10660" w:rsidP="00B10660">
    <w:pPr>
      <w:pStyle w:val="Zpat"/>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59AF" w:rsidRDefault="003259AF" w:rsidP="00B10660">
      <w:pPr>
        <w:spacing w:after="0" w:line="240" w:lineRule="auto"/>
      </w:pPr>
      <w:r>
        <w:separator/>
      </w:r>
    </w:p>
  </w:footnote>
  <w:footnote w:type="continuationSeparator" w:id="0">
    <w:p w:rsidR="003259AF" w:rsidRDefault="003259AF" w:rsidP="00B106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0660" w:rsidRDefault="00102D43">
    <w:pPr>
      <w:pStyle w:val="Zhlav"/>
    </w:pPr>
    <w:r>
      <w:rPr>
        <w:noProof/>
        <w:lang w:eastAsia="cs-CZ"/>
      </w:rPr>
      <w:drawing>
        <wp:anchor distT="0" distB="0" distL="114300" distR="114300" simplePos="0" relativeHeight="251659264" behindDoc="1" locked="0" layoutInCell="1" allowOverlap="1">
          <wp:simplePos x="0" y="0"/>
          <wp:positionH relativeFrom="column">
            <wp:posOffset>4045944</wp:posOffset>
          </wp:positionH>
          <wp:positionV relativeFrom="paragraph">
            <wp:posOffset>-1084553</wp:posOffset>
          </wp:positionV>
          <wp:extent cx="2051685" cy="1137036"/>
          <wp:effectExtent l="0" t="0" r="5715" b="6350"/>
          <wp:wrapNone/>
          <wp:docPr id="3" name="Obrázek 3" descr="Archeologické rozhled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cheologické rozhledy"/>
                  <pic:cNvPicPr>
                    <a:picLocks noChangeAspect="1" noChangeArrowheads="1"/>
                  </pic:cNvPicPr>
                </pic:nvPicPr>
                <pic:blipFill rotWithShape="1">
                  <a:blip r:embed="rId1">
                    <a:extLst>
                      <a:ext uri="{28A0092B-C50C-407E-A947-70E740481C1C}">
                        <a14:useLocalDpi xmlns:a14="http://schemas.microsoft.com/office/drawing/2010/main" val="0"/>
                      </a:ext>
                    </a:extLst>
                  </a:blip>
                  <a:srcRect t="4932" b="55886"/>
                  <a:stretch/>
                </pic:blipFill>
                <pic:spPr bwMode="auto">
                  <a:xfrm>
                    <a:off x="0" y="0"/>
                    <a:ext cx="2051685" cy="1137036"/>
                  </a:xfrm>
                  <a:prstGeom prst="rect">
                    <a:avLst/>
                  </a:prstGeom>
                  <a:noFill/>
                  <a:ln>
                    <a:noFill/>
                  </a:ln>
                  <a:extLst>
                    <a:ext uri="{53640926-AAD7-44D8-BBD7-CCE9431645EC}">
                      <a14:shadowObscured xmlns:a14="http://schemas.microsoft.com/office/drawing/2010/main"/>
                    </a:ext>
                  </a:extLst>
                </pic:spPr>
              </pic:pic>
            </a:graphicData>
          </a:graphic>
        </wp:anchor>
      </w:drawing>
    </w:r>
    <w:r w:rsidR="00B10660">
      <w:rPr>
        <w:noProof/>
        <w:lang w:eastAsia="cs-CZ"/>
      </w:rPr>
      <w:drawing>
        <wp:anchor distT="0" distB="0" distL="114300" distR="114300" simplePos="0" relativeHeight="251658240" behindDoc="1" locked="0" layoutInCell="1" allowOverlap="1">
          <wp:simplePos x="0" y="0"/>
          <wp:positionH relativeFrom="margin">
            <wp:posOffset>-551815</wp:posOffset>
          </wp:positionH>
          <wp:positionV relativeFrom="topMargin">
            <wp:posOffset>222250</wp:posOffset>
          </wp:positionV>
          <wp:extent cx="2399030" cy="844550"/>
          <wp:effectExtent l="0" t="0" r="1270" b="0"/>
          <wp:wrapTight wrapText="bothSides">
            <wp:wrapPolygon edited="0">
              <wp:start x="0" y="0"/>
              <wp:lineTo x="0" y="20950"/>
              <wp:lineTo x="21440" y="20950"/>
              <wp:lineTo x="21440" y="0"/>
              <wp:lineTo x="0" y="0"/>
            </wp:wrapPolygon>
          </wp:wrapTight>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ARÚ text A CZ rgb_.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399030" cy="84455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660"/>
    <w:rsid w:val="00071AA7"/>
    <w:rsid w:val="000C2CBC"/>
    <w:rsid w:val="000F0E32"/>
    <w:rsid w:val="00102D43"/>
    <w:rsid w:val="001A630A"/>
    <w:rsid w:val="00247CC2"/>
    <w:rsid w:val="002A133D"/>
    <w:rsid w:val="003259AF"/>
    <w:rsid w:val="00461FD5"/>
    <w:rsid w:val="00493844"/>
    <w:rsid w:val="00572510"/>
    <w:rsid w:val="006362A4"/>
    <w:rsid w:val="006915E1"/>
    <w:rsid w:val="006C023E"/>
    <w:rsid w:val="008233F1"/>
    <w:rsid w:val="009502BE"/>
    <w:rsid w:val="00974D48"/>
    <w:rsid w:val="0099575F"/>
    <w:rsid w:val="009F3D97"/>
    <w:rsid w:val="00AF2B6F"/>
    <w:rsid w:val="00B10660"/>
    <w:rsid w:val="00B24D45"/>
    <w:rsid w:val="00C26F51"/>
    <w:rsid w:val="00CA3AD9"/>
    <w:rsid w:val="00CF135A"/>
    <w:rsid w:val="00E531A8"/>
    <w:rsid w:val="00ED73EB"/>
    <w:rsid w:val="00F172B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306044"/>
  <w14:defaultImageDpi w14:val="32767"/>
  <w15:docId w15:val="{E5A1CA5D-E324-46A6-A990-7559709E3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9575F"/>
    <w:pPr>
      <w:spacing w:after="200" w:line="276" w:lineRule="auto"/>
    </w:pPr>
    <w:rPr>
      <w:rFonts w:asciiTheme="majorHAnsi" w:eastAsiaTheme="majorEastAsia" w:hAnsiTheme="majorHAnsi" w:cstheme="majorBidi"/>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Zkladnodstavec">
    <w:name w:val="[Základní odstavec]"/>
    <w:basedOn w:val="Normln"/>
    <w:uiPriority w:val="99"/>
    <w:rsid w:val="0099575F"/>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Zhlav">
    <w:name w:val="header"/>
    <w:basedOn w:val="Normln"/>
    <w:link w:val="ZhlavChar"/>
    <w:uiPriority w:val="99"/>
    <w:unhideWhenUsed/>
    <w:rsid w:val="00B1066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10660"/>
    <w:rPr>
      <w:rFonts w:asciiTheme="majorHAnsi" w:eastAsiaTheme="majorEastAsia" w:hAnsiTheme="majorHAnsi" w:cstheme="majorBidi"/>
      <w:sz w:val="22"/>
      <w:szCs w:val="22"/>
    </w:rPr>
  </w:style>
  <w:style w:type="paragraph" w:styleId="Zpat">
    <w:name w:val="footer"/>
    <w:basedOn w:val="Normln"/>
    <w:link w:val="ZpatChar"/>
    <w:uiPriority w:val="99"/>
    <w:unhideWhenUsed/>
    <w:rsid w:val="00B10660"/>
    <w:pPr>
      <w:tabs>
        <w:tab w:val="center" w:pos="4536"/>
        <w:tab w:val="right" w:pos="9072"/>
      </w:tabs>
      <w:spacing w:after="0" w:line="240" w:lineRule="auto"/>
    </w:pPr>
  </w:style>
  <w:style w:type="character" w:customStyle="1" w:styleId="ZpatChar">
    <w:name w:val="Zápatí Char"/>
    <w:basedOn w:val="Standardnpsmoodstavce"/>
    <w:link w:val="Zpat"/>
    <w:uiPriority w:val="99"/>
    <w:rsid w:val="00B10660"/>
    <w:rPr>
      <w:rFonts w:asciiTheme="majorHAnsi" w:eastAsiaTheme="majorEastAsia" w:hAnsiTheme="majorHAnsi" w:cstheme="maj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ka\Documents\ARUP\web%20navrh\PREZENTACE\B_DOPISY_p&#345;edlohy_do_&#353;ablon\ARU_dopis2-sablonaKK.dotx"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ARU_dopis2-sablonaKK</Template>
  <TotalTime>2</TotalTime>
  <Pages>3</Pages>
  <Words>866</Words>
  <Characters>5110</Characters>
  <Application>Microsoft Office Word</Application>
  <DocSecurity>0</DocSecurity>
  <Lines>42</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Katka Kleinová</dc:creator>
  <cp:lastModifiedBy>XR1</cp:lastModifiedBy>
  <cp:revision>3</cp:revision>
  <dcterms:created xsi:type="dcterms:W3CDTF">2021-09-22T08:23:00Z</dcterms:created>
  <dcterms:modified xsi:type="dcterms:W3CDTF">2021-09-22T08:25:00Z</dcterms:modified>
</cp:coreProperties>
</file>